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690.0" w:type="dxa"/>
        <w:jc w:val="left"/>
        <w:tblInd w:w="-1596.0" w:type="dxa"/>
        <w:tblLayout w:type="fixed"/>
        <w:tblLook w:val="0400"/>
      </w:tblPr>
      <w:tblGrid>
        <w:gridCol w:w="886"/>
        <w:gridCol w:w="2141"/>
        <w:gridCol w:w="8663"/>
        <w:tblGridChange w:id="0">
          <w:tblGrid>
            <w:gridCol w:w="886"/>
            <w:gridCol w:w="2141"/>
            <w:gridCol w:w="8663"/>
          </w:tblGrid>
        </w:tblGridChange>
      </w:tblGrid>
      <w:tr>
        <w:trPr>
          <w:cantSplit w:val="0"/>
          <w:trHeight w:val="264" w:hRule="atLeast"/>
          <w:tblHeader w:val="0"/>
        </w:trPr>
        <w:tc>
          <w:tcPr>
            <w:tcBorders>
              <w:top w:color="000000" w:space="0" w:sz="0" w:val="nil"/>
              <w:left w:color="000000" w:space="0" w:sz="0" w:val="nil"/>
              <w:bottom w:color="000000" w:space="0" w:sz="0" w:val="nil"/>
              <w:right w:color="d8d8d8" w:space="0" w:sz="6" w:val="single"/>
            </w:tcBorders>
          </w:tcPr>
          <w:p w:rsidR="00000000" w:rsidDel="00000000" w:rsidP="00000000" w:rsidRDefault="00000000" w:rsidRPr="00000000" w14:paraId="00000002">
            <w:pPr>
              <w:spacing w:after="160" w:line="259" w:lineRule="auto"/>
              <w:ind w:left="0" w:firstLine="0"/>
              <w:jc w:val="left"/>
              <w:rPr/>
            </w:pPr>
            <w:r w:rsidDel="00000000" w:rsidR="00000000" w:rsidRPr="00000000">
              <w:rPr>
                <w:rtl w:val="0"/>
              </w:rPr>
              <w:t xml:space="preserve">Lo</w:t>
            </w:r>
          </w:p>
        </w:tc>
        <w:tc>
          <w:tcPr>
            <w:tcBorders>
              <w:top w:color="d8d8d8" w:space="0" w:sz="6" w:val="single"/>
              <w:left w:color="d8d8d8" w:space="0" w:sz="6" w:val="single"/>
              <w:bottom w:color="000000" w:space="0" w:sz="0" w:val="nil"/>
              <w:right w:color="d8d8d8" w:space="0" w:sz="6" w:val="single"/>
            </w:tcBorders>
            <w:shd w:fill="ffffff" w:val="clear"/>
            <w:vAlign w:val="bottom"/>
          </w:tcPr>
          <w:p w:rsidR="00000000" w:rsidDel="00000000" w:rsidP="00000000" w:rsidRDefault="00000000" w:rsidRPr="00000000" w14:paraId="00000003">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d8d8d8" w:space="0" w:sz="6" w:val="single"/>
              <w:bottom w:color="000000" w:space="0" w:sz="0" w:val="nil"/>
              <w:right w:color="000000" w:space="0" w:sz="0" w:val="nil"/>
            </w:tcBorders>
          </w:tcPr>
          <w:p w:rsidR="00000000" w:rsidDel="00000000" w:rsidP="00000000" w:rsidRDefault="00000000" w:rsidRPr="00000000" w14:paraId="00000004">
            <w:pPr>
              <w:spacing w:after="160" w:line="259" w:lineRule="auto"/>
              <w:ind w:left="0" w:firstLine="0"/>
              <w:jc w:val="left"/>
              <w:rPr/>
            </w:pPr>
            <w:r w:rsidDel="00000000" w:rsidR="00000000" w:rsidRPr="00000000">
              <w:rPr>
                <w:rtl w:val="0"/>
              </w:rPr>
            </w:r>
          </w:p>
        </w:tc>
      </w:tr>
      <w:tr>
        <w:trPr>
          <w:cantSplit w:val="0"/>
          <w:trHeight w:val="2100" w:hRule="atLeast"/>
          <w:tblHeader w:val="0"/>
        </w:trPr>
        <w:tc>
          <w:tcPr>
            <w:tcBorders>
              <w:top w:color="000000" w:space="0" w:sz="0" w:val="nil"/>
              <w:left w:color="000000" w:space="0" w:sz="0" w:val="nil"/>
              <w:bottom w:color="000000" w:space="0" w:sz="0" w:val="nil"/>
              <w:right w:color="d8d8d8" w:space="0" w:sz="6" w:val="single"/>
            </w:tcBorders>
            <w:shd w:fill="4b4b4b" w:val="clear"/>
          </w:tcPr>
          <w:p w:rsidR="00000000" w:rsidDel="00000000" w:rsidP="00000000" w:rsidRDefault="00000000" w:rsidRPr="00000000" w14:paraId="00000005">
            <w:pPr>
              <w:spacing w:after="160" w:line="259" w:lineRule="auto"/>
              <w:ind w:left="0" w:firstLine="0"/>
              <w:jc w:val="left"/>
              <w:rPr/>
            </w:pPr>
            <w:r w:rsidDel="00000000" w:rsidR="00000000" w:rsidRPr="00000000">
              <w:rPr>
                <w:rtl w:val="0"/>
              </w:rPr>
            </w:r>
          </w:p>
        </w:tc>
        <w:tc>
          <w:tcPr>
            <w:tcBorders>
              <w:top w:color="000000" w:space="0" w:sz="0" w:val="nil"/>
              <w:left w:color="d8d8d8" w:space="0" w:sz="6" w:val="single"/>
              <w:bottom w:color="000000" w:space="0" w:sz="0" w:val="nil"/>
              <w:right w:color="d8d8d8" w:space="0" w:sz="6" w:val="single"/>
            </w:tcBorders>
            <w:shd w:fill="ffffff" w:val="clear"/>
          </w:tcPr>
          <w:p w:rsidR="00000000" w:rsidDel="00000000" w:rsidP="00000000" w:rsidRDefault="00000000" w:rsidRPr="00000000" w14:paraId="00000006">
            <w:pPr>
              <w:spacing w:after="0" w:line="259" w:lineRule="auto"/>
              <w:ind w:left="0" w:firstLine="0"/>
              <w:jc w:val="left"/>
              <w:rPr/>
            </w:pPr>
            <w:r w:rsidDel="00000000" w:rsidR="00000000" w:rsidRPr="00000000">
              <w:rPr/>
              <w:drawing>
                <wp:inline distB="0" distT="0" distL="0" distR="0">
                  <wp:extent cx="1168908" cy="1752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8908" cy="1752600"/>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d8d8d8" w:space="0" w:sz="6" w:val="single"/>
              <w:bottom w:color="000000" w:space="0" w:sz="0" w:val="nil"/>
              <w:right w:color="000000" w:space="0" w:sz="0" w:val="nil"/>
            </w:tcBorders>
            <w:shd w:fill="4b4b4b" w:val="clear"/>
            <w:vAlign w:val="bottom"/>
          </w:tcPr>
          <w:p w:rsidR="00000000" w:rsidDel="00000000" w:rsidP="00000000" w:rsidRDefault="00000000" w:rsidRPr="00000000" w14:paraId="00000007">
            <w:pPr>
              <w:spacing w:after="0" w:line="259" w:lineRule="auto"/>
              <w:ind w:left="0" w:right="93" w:firstLine="0"/>
              <w:jc w:val="right"/>
              <w:rPr/>
            </w:pPr>
            <w:r w:rsidDel="00000000" w:rsidR="00000000" w:rsidRPr="00000000">
              <w:rPr>
                <w:color w:val="ffffff"/>
                <w:sz w:val="32"/>
                <w:szCs w:val="32"/>
                <w:rtl w:val="0"/>
              </w:rPr>
              <w:t xml:space="preserve">MARTHA CECILIA MÁRQUEZ ALVARADO</w:t>
            </w:r>
            <w:r w:rsidDel="00000000" w:rsidR="00000000" w:rsidRPr="00000000">
              <w:rPr>
                <w:rFonts w:ascii="Arial" w:cs="Arial" w:eastAsia="Arial" w:hAnsi="Arial"/>
                <w:b w:val="1"/>
                <w:color w:val="ffffff"/>
                <w:sz w:val="32"/>
                <w:szCs w:val="32"/>
                <w:rtl w:val="0"/>
              </w:rPr>
              <w:t xml:space="preserve"> </w:t>
            </w:r>
            <w:r w:rsidDel="00000000" w:rsidR="00000000" w:rsidRPr="00000000">
              <w:rPr>
                <w:rtl w:val="0"/>
              </w:rPr>
            </w:r>
          </w:p>
          <w:p w:rsidR="00000000" w:rsidDel="00000000" w:rsidP="00000000" w:rsidRDefault="00000000" w:rsidRPr="00000000" w14:paraId="00000008">
            <w:pPr>
              <w:spacing w:after="0" w:line="259" w:lineRule="auto"/>
              <w:ind w:left="0" w:right="93" w:firstLine="0"/>
              <w:jc w:val="right"/>
              <w:rPr/>
            </w:pPr>
            <w:r w:rsidDel="00000000" w:rsidR="00000000" w:rsidRPr="00000000">
              <w:rPr>
                <w:rFonts w:ascii="Arial" w:cs="Arial" w:eastAsia="Arial" w:hAnsi="Arial"/>
                <w:color w:val="ffffff"/>
                <w:sz w:val="20"/>
                <w:szCs w:val="20"/>
                <w:rtl w:val="0"/>
              </w:rPr>
              <w:t xml:space="preserve">37 años </w:t>
            </w:r>
            <w:r w:rsidDel="00000000" w:rsidR="00000000" w:rsidRPr="00000000">
              <w:rPr>
                <w:rtl w:val="0"/>
              </w:rPr>
            </w:r>
          </w:p>
          <w:p w:rsidR="00000000" w:rsidDel="00000000" w:rsidP="00000000" w:rsidRDefault="00000000" w:rsidRPr="00000000" w14:paraId="00000009">
            <w:pPr>
              <w:spacing w:after="0" w:line="259" w:lineRule="auto"/>
              <w:ind w:left="0" w:right="88" w:firstLine="0"/>
              <w:jc w:val="right"/>
              <w:rPr/>
            </w:pPr>
            <w:r w:rsidDel="00000000" w:rsidR="00000000" w:rsidRPr="00000000">
              <w:rPr>
                <w:rFonts w:ascii="Arial" w:cs="Arial" w:eastAsia="Arial" w:hAnsi="Arial"/>
                <w:color w:val="ffffff"/>
                <w:sz w:val="20"/>
                <w:szCs w:val="20"/>
                <w:rtl w:val="0"/>
              </w:rPr>
              <w:t xml:space="preserve">San Juan #102, Col. Del Carmen </w:t>
            </w:r>
            <w:r w:rsidDel="00000000" w:rsidR="00000000" w:rsidRPr="00000000">
              <w:rPr>
                <w:rtl w:val="0"/>
              </w:rPr>
            </w:r>
          </w:p>
          <w:p w:rsidR="00000000" w:rsidDel="00000000" w:rsidP="00000000" w:rsidRDefault="00000000" w:rsidRPr="00000000" w14:paraId="0000000A">
            <w:pPr>
              <w:spacing w:after="0" w:line="259" w:lineRule="auto"/>
              <w:ind w:left="0" w:right="93" w:firstLine="0"/>
              <w:jc w:val="right"/>
              <w:rPr/>
            </w:pPr>
            <w:r w:rsidDel="00000000" w:rsidR="00000000" w:rsidRPr="00000000">
              <w:rPr>
                <w:rFonts w:ascii="Arial" w:cs="Arial" w:eastAsia="Arial" w:hAnsi="Arial"/>
                <w:color w:val="ffffff"/>
                <w:sz w:val="20"/>
                <w:szCs w:val="20"/>
                <w:rtl w:val="0"/>
              </w:rPr>
              <w:t xml:space="preserve">C.P. 20050, Aguascalientes, Ags. </w:t>
            </w:r>
            <w:r w:rsidDel="00000000" w:rsidR="00000000" w:rsidRPr="00000000">
              <w:rPr>
                <w:rtl w:val="0"/>
              </w:rPr>
            </w:r>
          </w:p>
          <w:p w:rsidR="00000000" w:rsidDel="00000000" w:rsidP="00000000" w:rsidRDefault="00000000" w:rsidRPr="00000000" w14:paraId="0000000B">
            <w:pPr>
              <w:spacing w:after="0" w:line="259" w:lineRule="auto"/>
              <w:ind w:left="0" w:right="92" w:firstLine="0"/>
              <w:jc w:val="right"/>
              <w:rPr/>
            </w:pPr>
            <w:r w:rsidDel="00000000" w:rsidR="00000000" w:rsidRPr="00000000">
              <w:rPr>
                <w:rFonts w:ascii="Arial" w:cs="Arial" w:eastAsia="Arial" w:hAnsi="Arial"/>
                <w:color w:val="ffffff"/>
                <w:sz w:val="20"/>
                <w:szCs w:val="20"/>
                <w:rtl w:val="0"/>
              </w:rPr>
              <w:t xml:space="preserve">Teléfono 4492596336 </w:t>
            </w:r>
            <w:r w:rsidDel="00000000" w:rsidR="00000000" w:rsidRPr="00000000">
              <w:rPr>
                <w:rtl w:val="0"/>
              </w:rPr>
            </w:r>
          </w:p>
          <w:p w:rsidR="00000000" w:rsidDel="00000000" w:rsidP="00000000" w:rsidRDefault="00000000" w:rsidRPr="00000000" w14:paraId="0000000C">
            <w:pPr>
              <w:spacing w:after="0" w:line="259" w:lineRule="auto"/>
              <w:ind w:left="0" w:right="33" w:firstLine="0"/>
              <w:jc w:val="right"/>
              <w:rPr/>
            </w:pPr>
            <w:r w:rsidDel="00000000" w:rsidR="00000000" w:rsidRPr="00000000">
              <w:rPr>
                <w:rFonts w:ascii="Arial" w:cs="Arial" w:eastAsia="Arial" w:hAnsi="Arial"/>
                <w:color w:val="ffffff"/>
                <w:sz w:val="20"/>
                <w:szCs w:val="20"/>
                <w:rtl w:val="0"/>
              </w:rPr>
              <w:t xml:space="preserve"> </w:t>
            </w:r>
            <w:r w:rsidDel="00000000" w:rsidR="00000000" w:rsidRPr="00000000">
              <w:rPr>
                <w:rtl w:val="0"/>
              </w:rPr>
            </w:r>
          </w:p>
          <w:p w:rsidR="00000000" w:rsidDel="00000000" w:rsidP="00000000" w:rsidRDefault="00000000" w:rsidRPr="00000000" w14:paraId="0000000D">
            <w:pPr>
              <w:spacing w:after="0" w:line="259" w:lineRule="auto"/>
              <w:ind w:left="0" w:right="33" w:firstLine="0"/>
              <w:jc w:val="right"/>
              <w:rPr/>
            </w:pPr>
            <w:r w:rsidDel="00000000" w:rsidR="00000000" w:rsidRPr="00000000">
              <w:rPr>
                <w:rFonts w:ascii="Arial" w:cs="Arial" w:eastAsia="Arial" w:hAnsi="Arial"/>
                <w:color w:val="ffffff"/>
                <w:sz w:val="20"/>
                <w:szCs w:val="20"/>
                <w:rtl w:val="0"/>
              </w:rPr>
              <w:t xml:space="preserve"> </w:t>
            </w:r>
            <w:r w:rsidDel="00000000" w:rsidR="00000000" w:rsidRPr="00000000">
              <w:rPr>
                <w:rtl w:val="0"/>
              </w:rPr>
            </w:r>
          </w:p>
        </w:tc>
      </w:tr>
      <w:tr>
        <w:trPr>
          <w:cantSplit w:val="0"/>
          <w:trHeight w:val="1447" w:hRule="atLeast"/>
          <w:tblHeader w:val="0"/>
        </w:trPr>
        <w:tc>
          <w:tcPr>
            <w:tcBorders>
              <w:top w:color="000000" w:space="0" w:sz="0" w:val="nil"/>
              <w:left w:color="000000" w:space="0" w:sz="0" w:val="nil"/>
              <w:bottom w:color="000000" w:space="0" w:sz="0" w:val="nil"/>
              <w:right w:color="d8d8d8" w:space="0" w:sz="6" w:val="single"/>
            </w:tcBorders>
          </w:tcPr>
          <w:p w:rsidR="00000000" w:rsidDel="00000000" w:rsidP="00000000" w:rsidRDefault="00000000" w:rsidRPr="00000000" w14:paraId="0000000E">
            <w:pPr>
              <w:spacing w:after="160" w:line="259" w:lineRule="auto"/>
              <w:ind w:left="0" w:firstLine="0"/>
              <w:jc w:val="left"/>
              <w:rPr/>
            </w:pPr>
            <w:r w:rsidDel="00000000" w:rsidR="00000000" w:rsidRPr="00000000">
              <w:rPr>
                <w:rtl w:val="0"/>
              </w:rPr>
            </w:r>
          </w:p>
        </w:tc>
        <w:tc>
          <w:tcPr>
            <w:tcBorders>
              <w:top w:color="000000" w:space="0" w:sz="0" w:val="nil"/>
              <w:left w:color="d8d8d8" w:space="0" w:sz="6" w:val="single"/>
              <w:bottom w:color="d8d8d8" w:space="0" w:sz="6" w:val="single"/>
              <w:right w:color="d8d8d8" w:space="0" w:sz="6" w:val="single"/>
            </w:tcBorders>
            <w:shd w:fill="ffffff" w:val="clear"/>
            <w:vAlign w:val="bottom"/>
          </w:tcPr>
          <w:p w:rsidR="00000000" w:rsidDel="00000000" w:rsidP="00000000" w:rsidRDefault="00000000" w:rsidRPr="00000000" w14:paraId="0000000F">
            <w:pPr>
              <w:spacing w:after="0" w:line="259" w:lineRule="auto"/>
              <w:ind w:left="0" w:right="50" w:firstLine="0"/>
              <w:jc w:val="right"/>
              <w:rPr/>
            </w:pPr>
            <w:r w:rsidDel="00000000" w:rsidR="00000000" w:rsidRPr="00000000">
              <w:rPr>
                <w:sz w:val="24"/>
                <w:szCs w:val="24"/>
                <w:rtl w:val="0"/>
              </w:rPr>
              <w:t xml:space="preserve"> </w:t>
            </w:r>
            <w:r w:rsidDel="00000000" w:rsidR="00000000" w:rsidRPr="00000000">
              <w:rPr>
                <w:rtl w:val="0"/>
              </w:rPr>
            </w:r>
          </w:p>
        </w:tc>
        <w:tc>
          <w:tcPr>
            <w:tcBorders>
              <w:top w:color="000000" w:space="0" w:sz="0" w:val="nil"/>
              <w:left w:color="d8d8d8" w:space="0" w:sz="6" w:val="single"/>
              <w:bottom w:color="000000" w:space="0" w:sz="0" w:val="nil"/>
              <w:right w:color="000000" w:space="0" w:sz="0" w:val="nil"/>
            </w:tcBorders>
            <w:vAlign w:val="bottom"/>
          </w:tcPr>
          <w:p w:rsidR="00000000" w:rsidDel="00000000" w:rsidP="00000000" w:rsidRDefault="00000000" w:rsidRPr="00000000" w14:paraId="00000010">
            <w:pPr>
              <w:spacing w:after="0" w:line="259" w:lineRule="auto"/>
              <w:ind w:left="20" w:firstLine="0"/>
              <w:jc w:val="left"/>
              <w:rPr/>
            </w:pP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11">
            <w:pPr>
              <w:spacing w:after="62" w:line="259" w:lineRule="auto"/>
              <w:ind w:left="20" w:firstLine="0"/>
              <w:jc w:val="left"/>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2">
            <w:pPr>
              <w:spacing w:after="0" w:line="259" w:lineRule="auto"/>
              <w:ind w:left="20"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20" w:firstLine="0"/>
              <w:jc w:val="left"/>
              <w:rPr/>
            </w:pPr>
            <w:r w:rsidDel="00000000" w:rsidR="00000000" w:rsidRPr="00000000">
              <w:rPr>
                <w:b w:val="1"/>
                <w:sz w:val="28"/>
                <w:szCs w:val="28"/>
                <w:rtl w:val="0"/>
              </w:rPr>
              <w:t xml:space="preserve"> </w:t>
            </w:r>
            <w:r w:rsidDel="00000000" w:rsidR="00000000" w:rsidRPr="00000000">
              <w:rPr>
                <w:rtl w:val="0"/>
              </w:rPr>
            </w:r>
          </w:p>
        </w:tc>
      </w:tr>
    </w:tbl>
    <w:p w:rsidR="00000000" w:rsidDel="00000000" w:rsidP="00000000" w:rsidRDefault="00000000" w:rsidRPr="00000000" w14:paraId="00000014">
      <w:pPr>
        <w:spacing w:after="36" w:line="259" w:lineRule="auto"/>
        <w:ind w:left="1598"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5">
      <w:pPr>
        <w:pStyle w:val="Heading1"/>
        <w:ind w:left="-5" w:firstLine="0"/>
        <w:rPr/>
      </w:pPr>
      <w:r w:rsidDel="00000000" w:rsidR="00000000" w:rsidRPr="00000000">
        <w:rPr>
          <w:rtl w:val="0"/>
        </w:rPr>
        <w:t xml:space="preserve">Estudios</w:t>
      </w:r>
      <w:r w:rsidDel="00000000" w:rsidR="00000000" w:rsidRPr="00000000">
        <w:rPr>
          <w:rFonts w:ascii="Arial" w:cs="Arial" w:eastAsia="Arial" w:hAnsi="Arial"/>
          <w:color w:val="ffffff"/>
          <w:sz w:val="32"/>
          <w:szCs w:val="32"/>
          <w:rtl w:val="0"/>
        </w:rPr>
        <w:t xml:space="preserve"> </w:t>
      </w:r>
      <w:r w:rsidDel="00000000" w:rsidR="00000000" w:rsidRPr="00000000">
        <w:rPr>
          <w:rtl w:val="0"/>
        </w:rPr>
      </w:r>
    </w:p>
    <w:p w:rsidR="00000000" w:rsidDel="00000000" w:rsidP="00000000" w:rsidRDefault="00000000" w:rsidRPr="00000000" w14:paraId="00000016">
      <w:pPr>
        <w:spacing w:after="0" w:line="259" w:lineRule="auto"/>
        <w:ind w:left="0" w:firstLine="0"/>
        <w:jc w:val="left"/>
        <w:rPr/>
      </w:pPr>
      <w:r w:rsidDel="00000000" w:rsidR="00000000" w:rsidRPr="00000000">
        <w:rPr>
          <w:color w:val="7f7f7f"/>
          <w:sz w:val="24"/>
          <w:szCs w:val="24"/>
          <w:rtl w:val="0"/>
        </w:rPr>
        <w:t xml:space="preserve">  </w:t>
      </w:r>
      <w:r w:rsidDel="00000000" w:rsidR="00000000" w:rsidRPr="00000000">
        <w:rPr>
          <w:rtl w:val="0"/>
        </w:rPr>
      </w:r>
    </w:p>
    <w:p w:rsidR="00000000" w:rsidDel="00000000" w:rsidP="00000000" w:rsidRDefault="00000000" w:rsidRPr="00000000" w14:paraId="00000017">
      <w:pPr>
        <w:ind w:left="-5" w:right="1650" w:firstLine="0"/>
        <w:rPr/>
      </w:pPr>
      <w:r w:rsidDel="00000000" w:rsidR="00000000" w:rsidRPr="00000000">
        <w:rPr>
          <w:rtl w:val="0"/>
        </w:rPr>
        <w:t xml:space="preserve">Secundaria Técnica en Contabilidad</w:t>
      </w:r>
      <w:r w:rsidDel="00000000" w:rsidR="00000000" w:rsidRPr="00000000">
        <w:rPr>
          <w:color w:val="7f7f7f"/>
          <w:rtl w:val="0"/>
        </w:rPr>
        <w:t xml:space="preserve"> </w:t>
      </w:r>
      <w:r w:rsidDel="00000000" w:rsidR="00000000" w:rsidRPr="00000000">
        <w:rPr>
          <w:rtl w:val="0"/>
        </w:rPr>
      </w:r>
    </w:p>
    <w:p w:rsidR="00000000" w:rsidDel="00000000" w:rsidP="00000000" w:rsidRDefault="00000000" w:rsidRPr="00000000" w14:paraId="0000001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9">
      <w:pPr>
        <w:ind w:left="-5" w:right="1650" w:firstLine="0"/>
        <w:rPr/>
      </w:pPr>
      <w:r w:rsidDel="00000000" w:rsidR="00000000" w:rsidRPr="00000000">
        <w:rPr>
          <w:rtl w:val="0"/>
        </w:rPr>
        <w:t xml:space="preserve">Bachillerato Tecnológico en Contabilidad </w:t>
      </w:r>
    </w:p>
    <w:p w:rsidR="00000000" w:rsidDel="00000000" w:rsidP="00000000" w:rsidRDefault="00000000" w:rsidRPr="00000000" w14:paraId="0000001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B">
      <w:pPr>
        <w:ind w:left="-5" w:right="1650" w:firstLine="0"/>
        <w:rPr/>
      </w:pPr>
      <w:r w:rsidDel="00000000" w:rsidR="00000000" w:rsidRPr="00000000">
        <w:rPr>
          <w:rtl w:val="0"/>
        </w:rPr>
        <w:t xml:space="preserve">Lic. en Contador Público </w:t>
      </w:r>
    </w:p>
    <w:p w:rsidR="00000000" w:rsidDel="00000000" w:rsidP="00000000" w:rsidRDefault="00000000" w:rsidRPr="00000000" w14:paraId="0000001C">
      <w:pPr>
        <w:ind w:left="-5" w:right="1650" w:firstLine="0"/>
        <w:rPr/>
      </w:pPr>
      <w:r w:rsidDel="00000000" w:rsidR="00000000" w:rsidRPr="00000000">
        <w:rPr>
          <w:rtl w:val="0"/>
        </w:rPr>
        <w:t xml:space="preserve">Universidad Autónoma de Aguascalientes </w:t>
      </w:r>
    </w:p>
    <w:p w:rsidR="00000000" w:rsidDel="00000000" w:rsidP="00000000" w:rsidRDefault="00000000" w:rsidRPr="00000000" w14:paraId="0000001D">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E">
      <w:pPr>
        <w:spacing w:after="33"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F">
      <w:pPr>
        <w:pStyle w:val="Heading1"/>
        <w:ind w:left="-5" w:firstLine="0"/>
        <w:rPr/>
      </w:pPr>
      <w:r w:rsidDel="00000000" w:rsidR="00000000" w:rsidRPr="00000000">
        <w:rPr>
          <w:rtl w:val="0"/>
        </w:rPr>
        <w:t xml:space="preserve">Experiencia en la Iniciativa Privada </w:t>
      </w:r>
    </w:p>
    <w:p w:rsidR="00000000" w:rsidDel="00000000" w:rsidP="00000000" w:rsidRDefault="00000000" w:rsidRPr="00000000" w14:paraId="00000020">
      <w:pPr>
        <w:spacing w:after="0" w:line="259" w:lineRule="auto"/>
        <w:ind w:left="0" w:firstLine="0"/>
        <w:jc w:val="lef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1">
      <w:pPr>
        <w:ind w:left="-5" w:right="1650" w:firstLine="0"/>
        <w:rPr/>
      </w:pPr>
      <w:r w:rsidDel="00000000" w:rsidR="00000000" w:rsidRPr="00000000">
        <w:rPr>
          <w:rtl w:val="0"/>
        </w:rPr>
        <w:t xml:space="preserve">Colegio Latinoamericano Juventud- Auxiliar Administrativo (2001) </w:t>
      </w:r>
    </w:p>
    <w:p w:rsidR="00000000" w:rsidDel="00000000" w:rsidP="00000000" w:rsidRDefault="00000000" w:rsidRPr="00000000" w14:paraId="0000002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3">
      <w:pPr>
        <w:ind w:left="-5" w:right="1650" w:firstLine="0"/>
        <w:rPr/>
      </w:pPr>
      <w:r w:rsidDel="00000000" w:rsidR="00000000" w:rsidRPr="00000000">
        <w:rPr>
          <w:rtl w:val="0"/>
        </w:rPr>
        <w:t xml:space="preserve">Despacho de Lira- Auxiliar Contable (2002) </w:t>
      </w:r>
    </w:p>
    <w:p w:rsidR="00000000" w:rsidDel="00000000" w:rsidP="00000000" w:rsidRDefault="00000000" w:rsidRPr="00000000" w14:paraId="0000002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5">
      <w:pPr>
        <w:ind w:left="-5" w:right="1650" w:firstLine="0"/>
        <w:rPr/>
      </w:pPr>
      <w:r w:rsidDel="00000000" w:rsidR="00000000" w:rsidRPr="00000000">
        <w:rPr>
          <w:rtl w:val="0"/>
        </w:rPr>
        <w:t xml:space="preserve">KPMG Cárdenas Dosal S.C.-Auditor (2007) </w:t>
      </w:r>
    </w:p>
    <w:p w:rsidR="00000000" w:rsidDel="00000000" w:rsidP="00000000" w:rsidRDefault="00000000" w:rsidRPr="00000000" w14:paraId="0000002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7">
      <w:pPr>
        <w:ind w:left="-5" w:right="1650" w:firstLine="0"/>
        <w:rPr/>
      </w:pPr>
      <w:r w:rsidDel="00000000" w:rsidR="00000000" w:rsidRPr="00000000">
        <w:rPr>
          <w:rtl w:val="0"/>
        </w:rPr>
        <w:t xml:space="preserve">Lácteos Ticoy-Contador (2008) </w:t>
      </w:r>
    </w:p>
    <w:p w:rsidR="00000000" w:rsidDel="00000000" w:rsidP="00000000" w:rsidRDefault="00000000" w:rsidRPr="00000000" w14:paraId="0000002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9">
      <w:pPr>
        <w:spacing w:after="12" w:line="259" w:lineRule="auto"/>
        <w:ind w:left="0" w:firstLine="0"/>
        <w:jc w:val="left"/>
        <w:rPr/>
      </w:pPr>
      <w:r w:rsidDel="00000000" w:rsidR="00000000" w:rsidRPr="00000000">
        <w:rPr>
          <w:color w:val="7f7f7f"/>
          <w:sz w:val="24"/>
          <w:szCs w:val="24"/>
          <w:rtl w:val="0"/>
        </w:rPr>
        <w:t xml:space="preserve"> </w:t>
      </w:r>
      <w:r w:rsidDel="00000000" w:rsidR="00000000" w:rsidRPr="00000000">
        <w:rPr>
          <w:rtl w:val="0"/>
        </w:rPr>
      </w:r>
    </w:p>
    <w:p w:rsidR="00000000" w:rsidDel="00000000" w:rsidP="00000000" w:rsidRDefault="00000000" w:rsidRPr="00000000" w14:paraId="0000002A">
      <w:pPr>
        <w:pStyle w:val="Heading1"/>
        <w:ind w:left="-5" w:firstLine="0"/>
        <w:rPr/>
      </w:pPr>
      <w:r w:rsidDel="00000000" w:rsidR="00000000" w:rsidRPr="00000000">
        <w:rPr>
          <w:b w:val="0"/>
          <w:color w:val="7f7f7f"/>
          <w:sz w:val="24"/>
          <w:szCs w:val="24"/>
          <w:rtl w:val="0"/>
        </w:rPr>
        <w:t xml:space="preserve"> </w:t>
      </w:r>
      <w:r w:rsidDel="00000000" w:rsidR="00000000" w:rsidRPr="00000000">
        <w:rPr>
          <w:rtl w:val="0"/>
        </w:rPr>
        <w:t xml:space="preserve">Experiencia en el Servicio Público</w:t>
      </w:r>
      <w:r w:rsidDel="00000000" w:rsidR="00000000" w:rsidRPr="00000000">
        <w:rPr>
          <w:b w:val="0"/>
          <w:color w:val="7f7f7f"/>
          <w:sz w:val="24"/>
          <w:szCs w:val="24"/>
          <w:rtl w:val="0"/>
        </w:rPr>
        <w:t xml:space="preserve"> </w:t>
      </w:r>
      <w:r w:rsidDel="00000000" w:rsidR="00000000" w:rsidRPr="00000000">
        <w:rPr>
          <w:rtl w:val="0"/>
        </w:rPr>
      </w:r>
    </w:p>
    <w:p w:rsidR="00000000" w:rsidDel="00000000" w:rsidP="00000000" w:rsidRDefault="00000000" w:rsidRPr="00000000" w14:paraId="0000002B">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pStyle w:val="Heading2"/>
        <w:ind w:left="-5" w:firstLine="0"/>
        <w:rPr/>
      </w:pPr>
      <w:r w:rsidDel="00000000" w:rsidR="00000000" w:rsidRPr="00000000">
        <w:rPr>
          <w:rtl w:val="0"/>
        </w:rPr>
        <w:t xml:space="preserve">Municipio de Aguascalientes </w:t>
      </w:r>
    </w:p>
    <w:p w:rsidR="00000000" w:rsidDel="00000000" w:rsidP="00000000" w:rsidRDefault="00000000" w:rsidRPr="00000000" w14:paraId="0000002E">
      <w:pPr>
        <w:ind w:left="-5" w:right="1650" w:firstLine="0"/>
        <w:rPr/>
      </w:pPr>
      <w:r w:rsidDel="00000000" w:rsidR="00000000" w:rsidRPr="00000000">
        <w:rPr>
          <w:rtl w:val="0"/>
        </w:rPr>
        <w:t xml:space="preserve">Contraloría Municipal-Auxiliar administrativo (2005) </w:t>
      </w:r>
    </w:p>
    <w:p w:rsidR="00000000" w:rsidDel="00000000" w:rsidP="00000000" w:rsidRDefault="00000000" w:rsidRPr="00000000" w14:paraId="0000002F">
      <w:pPr>
        <w:ind w:left="-5" w:right="1650" w:firstLine="0"/>
        <w:rPr/>
      </w:pPr>
      <w:r w:rsidDel="00000000" w:rsidR="00000000" w:rsidRPr="00000000">
        <w:rPr>
          <w:rtl w:val="0"/>
        </w:rPr>
        <w:t xml:space="preserve">Secretaria de Finanzas-Auditor (2006) </w:t>
      </w:r>
    </w:p>
    <w:p w:rsidR="00000000" w:rsidDel="00000000" w:rsidP="00000000" w:rsidRDefault="00000000" w:rsidRPr="00000000" w14:paraId="00000030">
      <w:pPr>
        <w:ind w:left="-5" w:right="1650" w:firstLine="0"/>
        <w:rPr/>
      </w:pPr>
      <w:r w:rsidDel="00000000" w:rsidR="00000000" w:rsidRPr="00000000">
        <w:rPr>
          <w:rtl w:val="0"/>
        </w:rPr>
        <w:t xml:space="preserve">DIF Municipal-Jefe de departamento de atención a la juventud (2007) </w:t>
      </w:r>
    </w:p>
    <w:p w:rsidR="00000000" w:rsidDel="00000000" w:rsidP="00000000" w:rsidRDefault="00000000" w:rsidRPr="00000000" w14:paraId="0000003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3">
      <w:pPr>
        <w:pStyle w:val="Heading2"/>
        <w:ind w:left="-5" w:firstLine="0"/>
        <w:rPr/>
      </w:pPr>
      <w:r w:rsidDel="00000000" w:rsidR="00000000" w:rsidRPr="00000000">
        <w:rPr>
          <w:rtl w:val="0"/>
        </w:rPr>
        <w:t xml:space="preserve">Órgano Superior de Fiscalización del Estado de Aguascalientes (</w:t>
      </w:r>
      <w:r w:rsidDel="00000000" w:rsidR="00000000" w:rsidRPr="00000000">
        <w:rPr>
          <w:b w:val="0"/>
          <w:rtl w:val="0"/>
        </w:rPr>
        <w:t xml:space="preserve">2008-2011) </w:t>
      </w:r>
      <w:r w:rsidDel="00000000" w:rsidR="00000000" w:rsidRPr="00000000">
        <w:rPr>
          <w:rtl w:val="0"/>
        </w:rPr>
      </w:r>
    </w:p>
    <w:p w:rsidR="00000000" w:rsidDel="00000000" w:rsidP="00000000" w:rsidRDefault="00000000" w:rsidRPr="00000000" w14:paraId="00000034">
      <w:pPr>
        <w:ind w:left="-5" w:right="1650" w:firstLine="0"/>
        <w:rPr/>
      </w:pPr>
      <w:r w:rsidDel="00000000" w:rsidR="00000000" w:rsidRPr="00000000">
        <w:rPr>
          <w:rtl w:val="0"/>
        </w:rPr>
        <w:t xml:space="preserve">Auditoría a Municipios del Interior </w:t>
      </w:r>
    </w:p>
    <w:p w:rsidR="00000000" w:rsidDel="00000000" w:rsidP="00000000" w:rsidRDefault="00000000" w:rsidRPr="00000000" w14:paraId="00000035">
      <w:pPr>
        <w:ind w:left="-5" w:right="1650" w:firstLine="0"/>
        <w:rPr/>
      </w:pPr>
      <w:r w:rsidDel="00000000" w:rsidR="00000000" w:rsidRPr="00000000">
        <w:rPr>
          <w:rtl w:val="0"/>
        </w:rPr>
        <w:t xml:space="preserve">Auditoría a Fondos Federales </w:t>
      </w:r>
    </w:p>
    <w:p w:rsidR="00000000" w:rsidDel="00000000" w:rsidP="00000000" w:rsidRDefault="00000000" w:rsidRPr="00000000" w14:paraId="00000036">
      <w:pPr>
        <w:ind w:left="-5" w:right="1650" w:firstLine="0"/>
        <w:rPr/>
      </w:pPr>
      <w:r w:rsidDel="00000000" w:rsidR="00000000" w:rsidRPr="00000000">
        <w:rPr>
          <w:rtl w:val="0"/>
        </w:rPr>
        <w:t xml:space="preserve">Auditoría de Control Interno </w:t>
      </w:r>
    </w:p>
    <w:p w:rsidR="00000000" w:rsidDel="00000000" w:rsidP="00000000" w:rsidRDefault="00000000" w:rsidRPr="00000000" w14:paraId="00000037">
      <w:pPr>
        <w:ind w:left="-5" w:right="1650" w:firstLine="0"/>
        <w:rPr/>
      </w:pPr>
      <w:r w:rsidDel="00000000" w:rsidR="00000000" w:rsidRPr="00000000">
        <w:rPr>
          <w:rtl w:val="0"/>
        </w:rPr>
        <w:t xml:space="preserve">Elaboración de Informes de Auditoría </w:t>
      </w:r>
    </w:p>
    <w:p w:rsidR="00000000" w:rsidDel="00000000" w:rsidP="00000000" w:rsidRDefault="00000000" w:rsidRPr="00000000" w14:paraId="00000038">
      <w:pPr>
        <w:ind w:left="-5" w:right="1650" w:firstLine="0"/>
        <w:rPr/>
      </w:pPr>
      <w:r w:rsidDel="00000000" w:rsidR="00000000" w:rsidRPr="00000000">
        <w:rPr>
          <w:rtl w:val="0"/>
        </w:rPr>
        <w:t xml:space="preserve">Auditoría de Obra Pública </w:t>
      </w:r>
    </w:p>
    <w:p w:rsidR="00000000" w:rsidDel="00000000" w:rsidP="00000000" w:rsidRDefault="00000000" w:rsidRPr="00000000" w14:paraId="00000039">
      <w:pPr>
        <w:spacing w:after="0" w:line="259" w:lineRule="auto"/>
        <w:ind w:left="0" w:firstLine="0"/>
        <w:jc w:val="left"/>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A">
      <w:pPr>
        <w:spacing w:after="0" w:line="259" w:lineRule="auto"/>
        <w:ind w:left="0" w:right="1611" w:firstLine="0"/>
        <w:jc w:val="righ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B">
      <w:pPr>
        <w:spacing w:after="0" w:line="259" w:lineRule="auto"/>
        <w:ind w:left="0" w:right="1611" w:firstLine="0"/>
        <w:jc w:val="righ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C">
      <w:pPr>
        <w:pStyle w:val="Heading2"/>
        <w:ind w:left="-5" w:firstLine="0"/>
        <w:rPr>
          <w:b w:val="0"/>
        </w:rPr>
      </w:pPr>
      <w:r w:rsidDel="00000000" w:rsidR="00000000" w:rsidRPr="00000000">
        <w:rPr>
          <w:rtl w:val="0"/>
        </w:rPr>
        <w:t xml:space="preserve">H. Congreso del Estado de Aguascalientes LXII Legislatura-</w:t>
      </w:r>
      <w:r w:rsidDel="00000000" w:rsidR="00000000" w:rsidRPr="00000000">
        <w:rPr>
          <w:b w:val="0"/>
          <w:rtl w:val="0"/>
        </w:rPr>
        <w:t xml:space="preserve">Diputada Local</w:t>
      </w:r>
      <w:r w:rsidDel="00000000" w:rsidR="00000000" w:rsidRPr="00000000">
        <w:rPr>
          <w:rtl w:val="0"/>
        </w:rPr>
        <w:t xml:space="preserve"> (2013-2016)</w:t>
      </w:r>
      <w:r w:rsidDel="00000000" w:rsidR="00000000" w:rsidRPr="00000000">
        <w:rPr>
          <w:rtl w:val="0"/>
        </w:rPr>
      </w:r>
    </w:p>
    <w:p w:rsidR="00000000" w:rsidDel="00000000" w:rsidP="00000000" w:rsidRDefault="00000000" w:rsidRPr="00000000" w14:paraId="0000003D">
      <w:pPr>
        <w:ind w:left="-5" w:right="1650" w:firstLine="0"/>
        <w:rPr/>
      </w:pPr>
      <w:r w:rsidDel="00000000" w:rsidR="00000000" w:rsidRPr="00000000">
        <w:rPr>
          <w:rtl w:val="0"/>
        </w:rPr>
        <w:t xml:space="preserve">Coordinadora del Grupo Parlamentario del Partido Acción Nacional </w:t>
      </w:r>
    </w:p>
    <w:p w:rsidR="00000000" w:rsidDel="00000000" w:rsidP="00000000" w:rsidRDefault="00000000" w:rsidRPr="00000000" w14:paraId="0000003E">
      <w:pPr>
        <w:ind w:left="-5" w:right="1650" w:firstLine="0"/>
        <w:rPr/>
      </w:pPr>
      <w:r w:rsidDel="00000000" w:rsidR="00000000" w:rsidRPr="00000000">
        <w:rPr>
          <w:rtl w:val="0"/>
        </w:rPr>
        <w:t xml:space="preserve">Integrante de la Comisión de Vigilancia </w:t>
      </w:r>
    </w:p>
    <w:p w:rsidR="00000000" w:rsidDel="00000000" w:rsidP="00000000" w:rsidRDefault="00000000" w:rsidRPr="00000000" w14:paraId="0000003F">
      <w:pPr>
        <w:ind w:left="-5" w:right="1650" w:firstLine="0"/>
        <w:rPr/>
      </w:pPr>
      <w:r w:rsidDel="00000000" w:rsidR="00000000" w:rsidRPr="00000000">
        <w:rPr>
          <w:rtl w:val="0"/>
        </w:rPr>
        <w:t xml:space="preserve">Integrante de la Comisión de Gobierno </w:t>
      </w:r>
    </w:p>
    <w:p w:rsidR="00000000" w:rsidDel="00000000" w:rsidP="00000000" w:rsidRDefault="00000000" w:rsidRPr="00000000" w14:paraId="00000040">
      <w:pPr>
        <w:ind w:left="-5" w:right="1650" w:firstLine="0"/>
        <w:rPr/>
      </w:pPr>
      <w:r w:rsidDel="00000000" w:rsidR="00000000" w:rsidRPr="00000000">
        <w:rPr>
          <w:rtl w:val="0"/>
        </w:rPr>
        <w:t xml:space="preserve">Presidenta de la Comisión de Recreación y Deporte </w:t>
      </w:r>
    </w:p>
    <w:p w:rsidR="00000000" w:rsidDel="00000000" w:rsidP="00000000" w:rsidRDefault="00000000" w:rsidRPr="00000000" w14:paraId="00000041">
      <w:pPr>
        <w:ind w:left="-5" w:right="1650" w:firstLine="0"/>
        <w:rPr/>
      </w:pPr>
      <w:r w:rsidDel="00000000" w:rsidR="00000000" w:rsidRPr="00000000">
        <w:rPr>
          <w:rtl w:val="0"/>
        </w:rPr>
        <w:t xml:space="preserve">Integrante de la Comisión de Reglamentos y Prácticas Parlamentarias </w:t>
      </w:r>
    </w:p>
    <w:p w:rsidR="00000000" w:rsidDel="00000000" w:rsidP="00000000" w:rsidRDefault="00000000" w:rsidRPr="00000000" w14:paraId="00000042">
      <w:pPr>
        <w:ind w:left="-5" w:right="1650" w:firstLine="0"/>
        <w:rPr/>
      </w:pPr>
      <w:r w:rsidDel="00000000" w:rsidR="00000000" w:rsidRPr="00000000">
        <w:rPr>
          <w:rtl w:val="0"/>
        </w:rPr>
        <w:t xml:space="preserve">Integrante de la Comisión Fortalecimiento Municipal </w:t>
      </w:r>
    </w:p>
    <w:p w:rsidR="00000000" w:rsidDel="00000000" w:rsidP="00000000" w:rsidRDefault="00000000" w:rsidRPr="00000000" w14:paraId="00000043">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4">
      <w:pPr>
        <w:spacing w:after="0" w:line="259" w:lineRule="auto"/>
        <w:ind w:left="0" w:right="1611" w:firstLine="0"/>
        <w:jc w:val="righ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5">
      <w:pPr>
        <w:pStyle w:val="Heading2"/>
        <w:ind w:left="-5" w:firstLine="0"/>
        <w:rPr/>
      </w:pPr>
      <w:r w:rsidDel="00000000" w:rsidR="00000000" w:rsidRPr="00000000">
        <w:rPr>
          <w:rtl w:val="0"/>
        </w:rPr>
        <w:t xml:space="preserve">Gobierno del Estado de Aguascalientes-</w:t>
      </w:r>
      <w:r w:rsidDel="00000000" w:rsidR="00000000" w:rsidRPr="00000000">
        <w:rPr>
          <w:b w:val="0"/>
          <w:rtl w:val="0"/>
        </w:rPr>
        <w:t xml:space="preserve"> </w:t>
      </w:r>
      <w:r w:rsidDel="00000000" w:rsidR="00000000" w:rsidRPr="00000000">
        <w:rPr>
          <w:b w:val="0"/>
          <w:sz w:val="22"/>
          <w:szCs w:val="22"/>
          <w:rtl w:val="0"/>
        </w:rPr>
        <w:t xml:space="preserve">Secretaria de Bienestar y Desarrollo</w:t>
      </w:r>
      <w:r w:rsidDel="00000000" w:rsidR="00000000" w:rsidRPr="00000000">
        <w:rPr>
          <w:b w:val="0"/>
          <w:rtl w:val="0"/>
        </w:rPr>
        <w:t xml:space="preserve"> Social </w:t>
      </w:r>
      <w:r w:rsidDel="00000000" w:rsidR="00000000" w:rsidRPr="00000000">
        <w:rPr>
          <w:rtl w:val="0"/>
        </w:rPr>
      </w:r>
    </w:p>
    <w:p w:rsidR="00000000" w:rsidDel="00000000" w:rsidP="00000000" w:rsidRDefault="00000000" w:rsidRPr="00000000" w14:paraId="00000046">
      <w:pPr>
        <w:ind w:left="-5" w:right="1650" w:firstLine="0"/>
        <w:rPr/>
      </w:pPr>
      <w:r w:rsidDel="00000000" w:rsidR="00000000" w:rsidRPr="00000000">
        <w:rPr>
          <w:rtl w:val="0"/>
        </w:rPr>
        <w:t xml:space="preserve">(01 diciembre de 2016 al 09 de noviembre de 2017). </w:t>
      </w:r>
    </w:p>
    <w:p w:rsidR="00000000" w:rsidDel="00000000" w:rsidP="00000000" w:rsidRDefault="00000000" w:rsidRPr="00000000" w14:paraId="0000004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8">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9">
      <w:pPr>
        <w:ind w:left="-5" w:right="1650" w:firstLine="0"/>
        <w:rPr/>
      </w:pPr>
      <w:r w:rsidDel="00000000" w:rsidR="00000000" w:rsidRPr="00000000">
        <w:rPr>
          <w:b w:val="1"/>
          <w:sz w:val="24"/>
          <w:szCs w:val="24"/>
          <w:rtl w:val="0"/>
        </w:rPr>
        <w:t xml:space="preserve">Gobierno del Estado de Aguascalientes</w:t>
      </w:r>
      <w:r w:rsidDel="00000000" w:rsidR="00000000" w:rsidRPr="00000000">
        <w:rPr>
          <w:b w:val="1"/>
          <w:rtl w:val="0"/>
        </w:rPr>
        <w:t xml:space="preserve">-</w:t>
      </w:r>
      <w:r w:rsidDel="00000000" w:rsidR="00000000" w:rsidRPr="00000000">
        <w:rPr>
          <w:rtl w:val="0"/>
        </w:rPr>
        <w:t xml:space="preserve"> Secretaria de Fiscalización y Rendición de Cuentas (10 de noviembre del 2017 al 01 de enero de 2018). </w:t>
      </w:r>
    </w:p>
    <w:p w:rsidR="00000000" w:rsidDel="00000000" w:rsidP="00000000" w:rsidRDefault="00000000" w:rsidRPr="00000000" w14:paraId="0000004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B">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C">
      <w:pPr>
        <w:spacing w:line="250" w:lineRule="auto"/>
        <w:ind w:left="-5" w:right="3144" w:firstLine="0"/>
        <w:jc w:val="left"/>
        <w:rPr>
          <w:sz w:val="24"/>
          <w:szCs w:val="24"/>
        </w:rPr>
      </w:pPr>
      <w:r w:rsidDel="00000000" w:rsidR="00000000" w:rsidRPr="00000000">
        <w:rPr>
          <w:b w:val="1"/>
          <w:sz w:val="24"/>
          <w:szCs w:val="24"/>
          <w:rtl w:val="0"/>
        </w:rPr>
        <w:t xml:space="preserve">Gobierno del Estado de Aguascalientes-</w:t>
      </w:r>
      <w:r w:rsidDel="00000000" w:rsidR="00000000" w:rsidRPr="00000000">
        <w:rPr>
          <w:sz w:val="24"/>
          <w:szCs w:val="24"/>
          <w:rtl w:val="0"/>
        </w:rPr>
        <w:t xml:space="preserve"> Contralora del Estado  (02 de enero al 13 de marzo de 2018). </w:t>
      </w:r>
    </w:p>
    <w:p w:rsidR="00000000" w:rsidDel="00000000" w:rsidP="00000000" w:rsidRDefault="00000000" w:rsidRPr="00000000" w14:paraId="0000004D">
      <w:pPr>
        <w:spacing w:line="250" w:lineRule="auto"/>
        <w:ind w:left="-5" w:right="3144" w:firstLine="0"/>
        <w:jc w:val="left"/>
        <w:rPr/>
      </w:pPr>
      <w:r w:rsidDel="00000000" w:rsidR="00000000" w:rsidRPr="00000000">
        <w:rPr>
          <w:rtl w:val="0"/>
        </w:rPr>
      </w:r>
    </w:p>
    <w:p w:rsidR="00000000" w:rsidDel="00000000" w:rsidP="00000000" w:rsidRDefault="00000000" w:rsidRPr="00000000" w14:paraId="0000004E">
      <w:pPr>
        <w:spacing w:line="250" w:lineRule="auto"/>
        <w:ind w:left="-5" w:right="3144" w:firstLine="0"/>
        <w:jc w:val="left"/>
        <w:rPr>
          <w:sz w:val="24"/>
          <w:szCs w:val="24"/>
        </w:rPr>
      </w:pPr>
      <w:r w:rsidDel="00000000" w:rsidR="00000000" w:rsidRPr="00000000">
        <w:rPr>
          <w:b w:val="1"/>
          <w:sz w:val="24"/>
          <w:szCs w:val="24"/>
          <w:rtl w:val="0"/>
        </w:rPr>
        <w:t xml:space="preserve">Senado de la República LXIV Legislatura-</w:t>
      </w:r>
      <w:r w:rsidDel="00000000" w:rsidR="00000000" w:rsidRPr="00000000">
        <w:rPr>
          <w:sz w:val="24"/>
          <w:szCs w:val="24"/>
          <w:rtl w:val="0"/>
        </w:rPr>
        <w:t xml:space="preserve">Senadora por</w:t>
      </w:r>
      <w:r w:rsidDel="00000000" w:rsidR="00000000" w:rsidRPr="00000000">
        <w:rPr>
          <w:b w:val="1"/>
          <w:sz w:val="24"/>
          <w:szCs w:val="24"/>
          <w:rtl w:val="0"/>
        </w:rPr>
        <w:t xml:space="preserve"> </w:t>
      </w:r>
      <w:r w:rsidDel="00000000" w:rsidR="00000000" w:rsidRPr="00000000">
        <w:rPr>
          <w:sz w:val="24"/>
          <w:szCs w:val="24"/>
          <w:rtl w:val="0"/>
        </w:rPr>
        <w:t xml:space="preserve">el Estado</w:t>
      </w:r>
      <w:r w:rsidDel="00000000" w:rsidR="00000000" w:rsidRPr="00000000">
        <w:rPr>
          <w:b w:val="1"/>
          <w:sz w:val="24"/>
          <w:szCs w:val="24"/>
          <w:rtl w:val="0"/>
        </w:rPr>
        <w:t xml:space="preserve"> </w:t>
      </w:r>
      <w:r w:rsidDel="00000000" w:rsidR="00000000" w:rsidRPr="00000000">
        <w:rPr>
          <w:sz w:val="24"/>
          <w:szCs w:val="24"/>
          <w:rtl w:val="0"/>
        </w:rPr>
        <w:t xml:space="preserve">de</w:t>
      </w:r>
      <w:r w:rsidDel="00000000" w:rsidR="00000000" w:rsidRPr="00000000">
        <w:rPr>
          <w:b w:val="1"/>
          <w:sz w:val="24"/>
          <w:szCs w:val="24"/>
          <w:rtl w:val="0"/>
        </w:rPr>
        <w:t xml:space="preserve"> </w:t>
      </w:r>
      <w:r w:rsidDel="00000000" w:rsidR="00000000" w:rsidRPr="00000000">
        <w:rPr>
          <w:sz w:val="24"/>
          <w:szCs w:val="24"/>
          <w:rtl w:val="0"/>
        </w:rPr>
        <w:t xml:space="preserve">Aguascalientes.</w:t>
      </w:r>
    </w:p>
    <w:p w:rsidR="00000000" w:rsidDel="00000000" w:rsidP="00000000" w:rsidRDefault="00000000" w:rsidRPr="00000000" w14:paraId="0000004F">
      <w:pPr>
        <w:spacing w:line="250" w:lineRule="auto"/>
        <w:ind w:left="-5" w:right="3144" w:firstLine="0"/>
        <w:jc w:val="left"/>
        <w:rPr>
          <w:sz w:val="24"/>
          <w:szCs w:val="24"/>
        </w:rPr>
      </w:pPr>
      <w:r w:rsidDel="00000000" w:rsidR="00000000" w:rsidRPr="00000000">
        <w:rPr>
          <w:sz w:val="24"/>
          <w:szCs w:val="24"/>
          <w:rtl w:val="0"/>
        </w:rPr>
        <w:t xml:space="preserve">(1 de Septiembre de 2018 a la fecha).</w:t>
      </w:r>
    </w:p>
    <w:p w:rsidR="00000000" w:rsidDel="00000000" w:rsidP="00000000" w:rsidRDefault="00000000" w:rsidRPr="00000000" w14:paraId="00000050">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1">
      <w:pPr>
        <w:spacing w:after="11"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2">
      <w:pPr>
        <w:pStyle w:val="Heading1"/>
        <w:ind w:left="-5" w:firstLine="0"/>
        <w:rPr/>
      </w:pPr>
      <w:r w:rsidDel="00000000" w:rsidR="00000000" w:rsidRPr="00000000">
        <w:rPr>
          <w:rtl w:val="0"/>
        </w:rPr>
        <w:t xml:space="preserve">Cursos </w:t>
      </w:r>
    </w:p>
    <w:p w:rsidR="00000000" w:rsidDel="00000000" w:rsidP="00000000" w:rsidRDefault="00000000" w:rsidRPr="00000000" w14:paraId="00000053">
      <w:pPr>
        <w:spacing w:after="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4">
      <w:pPr>
        <w:ind w:left="-5" w:right="1650" w:firstLine="0"/>
        <w:rPr/>
      </w:pPr>
      <w:r w:rsidDel="00000000" w:rsidR="00000000" w:rsidRPr="00000000">
        <w:rPr>
          <w:rtl w:val="0"/>
        </w:rPr>
        <w:t xml:space="preserve">Liderazgo, Economía, Impuestos, Humanismo, Historia de México, Programación Neurolingüística, Oratoria, Debate, Auditoría Gubernamental, Control Interno, Fiscalización de Fondos Federales, Integración de expedientes de Auditoría, Auditoría a Obra Pública, Excel para Auditores Gubernamentales, Trabajo en Equipo, Seminario Latinoamericano de Jóvenes Humanistas Cristianos. </w:t>
      </w:r>
    </w:p>
    <w:p w:rsidR="00000000" w:rsidDel="00000000" w:rsidP="00000000" w:rsidRDefault="00000000" w:rsidRPr="00000000" w14:paraId="00000055">
      <w:pPr>
        <w:ind w:left="-5" w:right="1650" w:firstLine="0"/>
        <w:rPr/>
      </w:pPr>
      <w:r w:rsidDel="00000000" w:rsidR="00000000" w:rsidRPr="00000000">
        <w:rPr>
          <w:rtl w:val="0"/>
        </w:rPr>
        <w:t xml:space="preserve">Seminario Internacional de Sistemas de Información Social. </w:t>
      </w:r>
    </w:p>
    <w:p w:rsidR="00000000" w:rsidDel="00000000" w:rsidP="00000000" w:rsidRDefault="00000000" w:rsidRPr="00000000" w14:paraId="00000056">
      <w:pPr>
        <w:spacing w:after="0"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7">
      <w:pPr>
        <w:spacing w:after="11" w:line="259"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8">
      <w:pPr>
        <w:pStyle w:val="Heading1"/>
        <w:ind w:left="-5" w:firstLine="0"/>
        <w:rPr/>
      </w:pPr>
      <w:r w:rsidDel="00000000" w:rsidR="00000000" w:rsidRPr="00000000">
        <w:rPr>
          <w:rtl w:val="0"/>
        </w:rPr>
        <w:t xml:space="preserve">Semblanza </w:t>
      </w:r>
    </w:p>
    <w:p w:rsidR="00000000" w:rsidDel="00000000" w:rsidP="00000000" w:rsidRDefault="00000000" w:rsidRPr="00000000" w14:paraId="00000059">
      <w:pPr>
        <w:ind w:left="-5" w:right="1650" w:firstLine="0"/>
        <w:rPr/>
      </w:pPr>
      <w:r w:rsidDel="00000000" w:rsidR="00000000" w:rsidRPr="00000000">
        <w:rPr>
          <w:rtl w:val="0"/>
        </w:rPr>
        <w:t xml:space="preserve">Contador Público por la Universidad Autónoma de Aguascalientes, teniendo como precedente la carrera técnica en Contabilidad tanto en secundaria como en bachillerato, inicia su carrera profesional en el sector privado en el año 2001 ocupando puestos de Auditor y Contador, en diversas empresas y organizaciones como KPMG Cárdenas Dosal S.C. Asimismo, se especializó en temas de economía, impuestos, auditorías gubernamentales y de obra pública, control interno, fiscalización de fondos federales y en sistemas de información social, desarrollando su carrera en el Sector Público a partir del año 2005 en el Municipio capital y posteriormente en el Órgano Superior de Fiscalización de la Entidad. Fue Diputada de la LXII Legislatura del H. Congreso del Estado de Aguascalientes, Secretaria de Bienestar y Desarrollo Social y Secretaria de Fiscalización y Rendición de Cuentas, ocupo la titularidad de la Contraloría del Estado. Actualmente es Senadora de la República. </w:t>
      </w:r>
    </w:p>
    <w:p w:rsidR="00000000" w:rsidDel="00000000" w:rsidP="00000000" w:rsidRDefault="00000000" w:rsidRPr="00000000" w14:paraId="0000005A">
      <w:pPr>
        <w:ind w:left="-5" w:right="1650" w:firstLine="0"/>
        <w:rPr/>
      </w:pPr>
      <w:r w:rsidDel="00000000" w:rsidR="00000000" w:rsidRPr="00000000">
        <w:rPr>
          <w:rtl w:val="0"/>
        </w:rPr>
      </w:r>
    </w:p>
    <w:p w:rsidR="00000000" w:rsidDel="00000000" w:rsidP="00000000" w:rsidRDefault="00000000" w:rsidRPr="00000000" w14:paraId="0000005B">
      <w:pPr>
        <w:ind w:left="-5" w:right="1650" w:firstLine="0"/>
        <w:rPr/>
      </w:pPr>
      <w:r w:rsidDel="00000000" w:rsidR="00000000" w:rsidRPr="00000000">
        <w:rPr>
          <w:rtl w:val="0"/>
        </w:rPr>
        <w:t xml:space="preserve">Madre de familia de tres hijos Diego Emilio, Rivemm y Emilia, dedicada al deporte y a las causas sociales desde la juventud. </w:t>
      </w:r>
    </w:p>
    <w:p w:rsidR="00000000" w:rsidDel="00000000" w:rsidP="00000000" w:rsidRDefault="00000000" w:rsidRPr="00000000" w14:paraId="0000005C">
      <w:pPr>
        <w:spacing w:after="0" w:line="259" w:lineRule="auto"/>
        <w:ind w:left="0" w:firstLine="0"/>
        <w:rPr/>
      </w:pPr>
      <w:r w:rsidDel="00000000" w:rsidR="00000000" w:rsidRPr="00000000">
        <w:rPr>
          <w:rtl w:val="0"/>
        </w:rPr>
        <w:t xml:space="preserve"> </w:t>
      </w:r>
    </w:p>
    <w:sectPr>
      <w:pgSz w:h="16841" w:w="11899" w:orient="portrait"/>
      <w:pgMar w:bottom="1602" w:top="1416" w:left="1702" w:right="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MX"/>
      </w:rPr>
    </w:rPrDefault>
    <w:pPrDefault>
      <w:pPr>
        <w:spacing w:after="5" w:line="248.00000000000006"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21.0" w:type="dxa"/>
        <w:left w:w="149.0" w:type="dxa"/>
        <w:bottom w:w="0.0" w:type="dxa"/>
        <w:right w:w="51.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